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B4C1D">
      <w:pPr>
        <w:tabs>
          <w:tab w:val="left" w:pos="670"/>
          <w:tab w:val="center" w:pos="4252"/>
        </w:tabs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广东加福加德食品技术股份有限公司2026年原粮船运物流运输业务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招标公告</w:t>
      </w:r>
    </w:p>
    <w:p w14:paraId="073E743E">
      <w:pPr>
        <w:tabs>
          <w:tab w:val="left" w:pos="670"/>
          <w:tab w:val="center" w:pos="4252"/>
        </w:tabs>
        <w:jc w:val="left"/>
        <w:rPr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 w14:paraId="498DFEDB">
      <w:pPr>
        <w:tabs>
          <w:tab w:val="left" w:pos="670"/>
          <w:tab w:val="center" w:pos="4252"/>
        </w:tabs>
        <w:spacing w:beforeLines="0" w:line="440" w:lineRule="exact"/>
        <w:ind w:firstLine="480" w:firstLineChars="200"/>
        <w:jc w:val="both"/>
        <w:rPr>
          <w:rFonts w:hint="default" w:ascii="Times New Roman" w:hAnsi="Times New Roman" w:eastAsia="宋体" w:cs="微软雅黑"/>
          <w:b w:val="0"/>
          <w:bCs/>
          <w:color w:val="auto"/>
          <w:kern w:val="2"/>
          <w:sz w:val="24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微软雅黑"/>
          <w:b w:val="0"/>
          <w:bCs/>
          <w:color w:val="auto"/>
          <w:kern w:val="2"/>
          <w:sz w:val="24"/>
          <w:szCs w:val="28"/>
          <w:lang w:val="en-US" w:eastAsia="zh-CN" w:bidi="ar-SA"/>
        </w:rPr>
        <w:t>广东加福加德食品技术股份有限公司（以下简称“采购人”）就2026年原粮船运物流运输业务（项目编号：JFJD0106-2026ZB06-FWWL01）进行招标，欢迎符合资格条件的水路运输企业参与投标。本公告公示期为3个工作日。相关内容如下：</w:t>
      </w:r>
    </w:p>
    <w:p w14:paraId="6E291092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Lines="0" w:beforeAutospacing="0" w:after="0" w:afterAutospacing="0" w:line="440" w:lineRule="exact"/>
        <w:ind w:left="0" w:right="0" w:hanging="420"/>
        <w:jc w:val="both"/>
        <w:textAlignment w:val="top"/>
        <w:rPr>
          <w:rFonts w:hint="eastAsia" w:ascii="Times New Roman" w:hAnsi="Times New Roman" w:eastAsia="宋体" w:cs="微软雅黑"/>
          <w:b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宋体" w:cs="微软雅黑"/>
          <w:b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一、 </w:t>
      </w:r>
      <w:r>
        <w:rPr>
          <w:rFonts w:hint="eastAsia" w:ascii="Times New Roman" w:hAnsi="Times New Roman" w:eastAsia="宋体" w:cs="微软雅黑"/>
          <w:b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公司简介</w:t>
      </w:r>
    </w:p>
    <w:p w14:paraId="261F81A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440" w:lineRule="exact"/>
        <w:ind w:firstLine="480" w:firstLineChars="200"/>
        <w:textAlignment w:val="auto"/>
        <w:rPr>
          <w:rFonts w:hint="eastAsia" w:ascii="Times New Roman" w:hAnsi="Times New Roman" w:eastAsia="宋体" w:cs="微软雅黑"/>
          <w:b w:val="0"/>
          <w:bCs/>
          <w:color w:val="auto"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微软雅黑"/>
          <w:b w:val="0"/>
          <w:bCs/>
          <w:color w:val="auto"/>
          <w:sz w:val="24"/>
          <w:szCs w:val="28"/>
          <w:lang w:val="en-US" w:eastAsia="zh-CN"/>
        </w:rPr>
        <w:t>广东加福加德食品技术股份有限公司（曾用名</w:t>
      </w:r>
      <w:r>
        <w:rPr>
          <w:rFonts w:hint="default" w:ascii="Times New Roman" w:hAnsi="Times New Roman" w:eastAsia="宋体" w:cs="微软雅黑"/>
          <w:b w:val="0"/>
          <w:bCs/>
          <w:color w:val="auto"/>
          <w:sz w:val="24"/>
          <w:szCs w:val="28"/>
          <w:lang w:val="en-US" w:eastAsia="zh-CN"/>
        </w:rPr>
        <w:fldChar w:fldCharType="begin"/>
      </w:r>
      <w:r>
        <w:rPr>
          <w:rFonts w:hint="default" w:ascii="Times New Roman" w:hAnsi="Times New Roman" w:eastAsia="宋体" w:cs="微软雅黑"/>
          <w:b w:val="0"/>
          <w:bCs/>
          <w:color w:val="auto"/>
          <w:sz w:val="24"/>
          <w:szCs w:val="28"/>
          <w:lang w:val="en-US" w:eastAsia="zh-CN"/>
        </w:rPr>
        <w:instrText xml:space="preserve"> HYPERLINK "https://www.baidu.com/s?rsv_dl=re_dqa_generate&amp;sa=re_dqa_generate&amp;wd=%E8%82%87%E5%BA%86%E5%B8%82%E7%A6%8F%E5%8A%A0%E5%BE%B7%E9%9D%A2%E7%B2%89%E6%9C%89%E9%99%90%E5%85%AC%E5%8F%B8&amp;rsv_pq=e5b7a5f5005fe9d1&amp;oq=%E5%B9%BF%E4%B8%9C%E5%8A%A0%E7%A6%8F%E5%8A%A0%E5%BE%B7%E9%A3%9F%E5%93%81%E6%8A%80%E6%9C%AF%E8%82%A1%E4%BB%BD%E6%9C%89%E9%99%90%E5%85%AC%E5%8F%B8%E7%AE%80%E4%BB%8B&amp;rsv_t=0ee3ZJsiwi5jR1EbB1IhcHZmb32cKzZ7pOUgw17qKZVxXNDtMedlkghe85srHGMEZVo7&amp;tn=baiduhome_pg&amp;ie=utf-8" \t "https://www.baidu.com/_blank" </w:instrText>
      </w:r>
      <w:r>
        <w:rPr>
          <w:rFonts w:hint="default" w:ascii="Times New Roman" w:hAnsi="Times New Roman" w:eastAsia="宋体" w:cs="微软雅黑"/>
          <w:b w:val="0"/>
          <w:bCs/>
          <w:color w:val="auto"/>
          <w:sz w:val="24"/>
          <w:szCs w:val="28"/>
          <w:lang w:val="en-US" w:eastAsia="zh-CN"/>
        </w:rPr>
        <w:fldChar w:fldCharType="separate"/>
      </w:r>
      <w:r>
        <w:rPr>
          <w:rFonts w:hint="default" w:ascii="Times New Roman" w:hAnsi="Times New Roman" w:eastAsia="宋体" w:cs="微软雅黑"/>
          <w:b w:val="0"/>
          <w:bCs/>
          <w:color w:val="auto"/>
          <w:sz w:val="24"/>
          <w:szCs w:val="28"/>
          <w:lang w:val="en-US" w:eastAsia="zh-CN"/>
        </w:rPr>
        <w:t>肇庆市福加德面粉有限公司</w:t>
      </w:r>
      <w:r>
        <w:rPr>
          <w:rFonts w:hint="default" w:ascii="Times New Roman" w:hAnsi="Times New Roman" w:eastAsia="宋体" w:cs="微软雅黑"/>
          <w:b w:val="0"/>
          <w:bCs/>
          <w:color w:val="auto"/>
          <w:sz w:val="24"/>
          <w:szCs w:val="28"/>
          <w:lang w:val="en-US" w:eastAsia="zh-CN"/>
        </w:rPr>
        <w:fldChar w:fldCharType="end"/>
      </w:r>
      <w:r>
        <w:rPr>
          <w:rFonts w:hint="eastAsia" w:ascii="Times New Roman" w:hAnsi="Times New Roman" w:eastAsia="宋体" w:cs="微软雅黑"/>
          <w:b w:val="0"/>
          <w:bCs/>
          <w:color w:val="auto"/>
          <w:sz w:val="24"/>
          <w:szCs w:val="28"/>
          <w:lang w:val="en-US" w:eastAsia="zh-CN"/>
        </w:rPr>
        <w:t>）成立</w:t>
      </w:r>
      <w:r>
        <w:rPr>
          <w:rFonts w:hint="eastAsia" w:ascii="Times New Roman" w:hAnsi="Times New Roman" w:eastAsia="宋体" w:cs="微软雅黑"/>
          <w:b w:val="0"/>
          <w:bCs/>
          <w:color w:val="auto"/>
          <w:sz w:val="24"/>
          <w:szCs w:val="28"/>
        </w:rPr>
        <w:t>于2002年，注册资本为</w:t>
      </w:r>
      <w:r>
        <w:rPr>
          <w:rFonts w:hint="eastAsia" w:ascii="Times New Roman" w:hAnsi="Times New Roman" w:eastAsia="宋体" w:cs="微软雅黑"/>
          <w:bCs/>
          <w:sz w:val="24"/>
          <w:szCs w:val="28"/>
        </w:rPr>
        <w:t>3,231.4285万元</w:t>
      </w:r>
      <w:r>
        <w:rPr>
          <w:rFonts w:hint="eastAsia" w:ascii="Times New Roman" w:hAnsi="Times New Roman" w:eastAsia="宋体" w:cs="微软雅黑"/>
          <w:b w:val="0"/>
          <w:bCs/>
          <w:color w:val="auto"/>
          <w:sz w:val="24"/>
          <w:szCs w:val="28"/>
        </w:rPr>
        <w:t>，</w:t>
      </w:r>
      <w:r>
        <w:rPr>
          <w:rFonts w:hint="eastAsia" w:ascii="Times New Roman" w:hAnsi="Times New Roman" w:eastAsia="宋体" w:cs="微软雅黑"/>
          <w:b w:val="0"/>
          <w:bCs/>
          <w:color w:val="auto"/>
          <w:sz w:val="24"/>
          <w:szCs w:val="28"/>
          <w:lang w:val="en-US" w:eastAsia="zh-CN"/>
        </w:rPr>
        <w:t>是广东省政府授予的百强民营企业。</w:t>
      </w:r>
    </w:p>
    <w:p w14:paraId="5A32417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440" w:lineRule="exact"/>
        <w:ind w:firstLine="480" w:firstLineChars="200"/>
        <w:textAlignment w:val="auto"/>
        <w:rPr>
          <w:rFonts w:hint="eastAsia" w:ascii="Times New Roman" w:hAnsi="Times New Roman" w:eastAsia="宋体" w:cs="微软雅黑"/>
          <w:b w:val="0"/>
          <w:bCs/>
          <w:sz w:val="24"/>
          <w:szCs w:val="28"/>
          <w:lang w:val="en-US" w:eastAsia="zh-CN"/>
        </w:rPr>
      </w:pPr>
      <w:r>
        <w:rPr>
          <w:rFonts w:hint="default" w:ascii="Times New Roman" w:hAnsi="Times New Roman" w:eastAsia="宋体" w:cs="微软雅黑"/>
          <w:b w:val="0"/>
          <w:bCs/>
          <w:color w:val="auto"/>
          <w:sz w:val="24"/>
          <w:szCs w:val="28"/>
          <w:lang w:val="en-US" w:eastAsia="zh-CN"/>
        </w:rPr>
        <w:t>公司主营小麦加工、面粉及副产品销售，配备全球领先的瑞士进口布勒生产线，以高标准工艺实现生产全流程精细化管控，确保产品品质稳定、安全可靠、全程可溯源，为客户提供安心、稳定的优质面粉产品</w:t>
      </w:r>
      <w:r>
        <w:rPr>
          <w:rFonts w:hint="eastAsia" w:ascii="Times New Roman" w:hAnsi="Times New Roman" w:eastAsia="宋体" w:cs="微软雅黑"/>
          <w:b w:val="0"/>
          <w:bCs/>
          <w:color w:val="auto"/>
          <w:sz w:val="24"/>
          <w:szCs w:val="28"/>
          <w:lang w:val="en-US" w:eastAsia="zh-CN"/>
        </w:rPr>
        <w:t>。年</w:t>
      </w:r>
      <w:r>
        <w:rPr>
          <w:rFonts w:hint="eastAsia" w:ascii="Times New Roman" w:hAnsi="Times New Roman" w:eastAsia="宋体" w:cs="微软雅黑"/>
          <w:b w:val="0"/>
          <w:bCs/>
          <w:sz w:val="24"/>
          <w:szCs w:val="28"/>
          <w:lang w:val="en-US" w:eastAsia="zh-CN"/>
        </w:rPr>
        <w:t>业绩增长率近30%，旗下两大生产基地，预计2026年两厂小麦加工年产能达150万吨。</w:t>
      </w:r>
    </w:p>
    <w:p w14:paraId="3BA0ED3A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Lines="0" w:beforeAutospacing="0" w:after="0" w:afterAutospacing="0" w:line="440" w:lineRule="exact"/>
        <w:ind w:left="0" w:right="0" w:hanging="420"/>
        <w:jc w:val="both"/>
        <w:textAlignment w:val="top"/>
        <w:rPr>
          <w:rFonts w:hint="eastAsia" w:ascii="Times New Roman" w:hAnsi="Times New Roman" w:eastAsia="宋体" w:cs="微软雅黑"/>
          <w:b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宋体" w:cs="微软雅黑"/>
          <w:b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二、 项目概况</w:t>
      </w:r>
    </w:p>
    <w:p w14:paraId="10A0E4F7">
      <w:pPr>
        <w:tabs>
          <w:tab w:val="left" w:pos="670"/>
          <w:tab w:val="center" w:pos="4252"/>
        </w:tabs>
        <w:spacing w:beforeLines="0" w:line="440" w:lineRule="exact"/>
        <w:ind w:firstLine="480" w:firstLineChars="200"/>
        <w:jc w:val="both"/>
        <w:rPr>
          <w:rFonts w:hint="default" w:ascii="Times New Roman" w:hAnsi="Times New Roman" w:eastAsia="宋体" w:cs="微软雅黑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8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宋体" w:cs="微软雅黑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8"/>
          <w:shd w:val="clear" w:fill="FFFFFF"/>
          <w:lang w:val="en-US" w:eastAsia="zh-CN" w:bidi="ar"/>
        </w:rPr>
        <w:t>1.招标范围：原粮船运物流运输业务</w:t>
      </w:r>
    </w:p>
    <w:p w14:paraId="5E06A8A0">
      <w:pPr>
        <w:tabs>
          <w:tab w:val="left" w:pos="670"/>
          <w:tab w:val="center" w:pos="4252"/>
        </w:tabs>
        <w:spacing w:beforeLines="0" w:line="440" w:lineRule="exact"/>
        <w:ind w:firstLine="480" w:firstLineChars="200"/>
        <w:jc w:val="both"/>
        <w:rPr>
          <w:rFonts w:hint="eastAsia" w:ascii="Times New Roman" w:hAnsi="Times New Roman" w:eastAsia="宋体" w:cs="微软雅黑"/>
          <w:b w:val="0"/>
          <w:bCs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微软雅黑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8"/>
          <w:shd w:val="clear" w:fill="FFFFFF"/>
          <w:lang w:val="en-US" w:eastAsia="zh-CN" w:bidi="ar"/>
        </w:rPr>
        <w:t>2.招标合同期：</w:t>
      </w:r>
      <w:r>
        <w:rPr>
          <w:rFonts w:hint="eastAsia" w:ascii="Times New Roman" w:hAnsi="Times New Roman" w:eastAsia="宋体" w:cs="微软雅黑"/>
          <w:b w:val="0"/>
          <w:bCs/>
          <w:sz w:val="24"/>
          <w:szCs w:val="28"/>
          <w:lang w:val="en-US" w:eastAsia="zh-CN"/>
        </w:rPr>
        <w:t>2026年4月1日至2027年3月31日</w:t>
      </w:r>
    </w:p>
    <w:p w14:paraId="102BBA0E">
      <w:pPr>
        <w:tabs>
          <w:tab w:val="left" w:pos="670"/>
          <w:tab w:val="center" w:pos="4252"/>
        </w:tabs>
        <w:spacing w:beforeLines="0" w:line="440" w:lineRule="exact"/>
        <w:ind w:firstLine="480" w:firstLineChars="200"/>
        <w:jc w:val="both"/>
        <w:rPr>
          <w:rFonts w:hint="eastAsia" w:ascii="Times New Roman" w:hAnsi="Times New Roman" w:eastAsia="宋体" w:cs="微软雅黑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8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宋体" w:cs="微软雅黑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8"/>
          <w:shd w:val="clear" w:fill="FFFFFF"/>
          <w:lang w:val="en-US" w:eastAsia="zh-CN" w:bidi="ar"/>
        </w:rPr>
        <w:t>3.年运输量：45万吨</w:t>
      </w:r>
    </w:p>
    <w:p w14:paraId="2477D780">
      <w:pPr>
        <w:tabs>
          <w:tab w:val="left" w:pos="670"/>
          <w:tab w:val="center" w:pos="4252"/>
        </w:tabs>
        <w:spacing w:beforeLines="0" w:line="440" w:lineRule="exact"/>
        <w:ind w:firstLine="480" w:firstLineChars="200"/>
        <w:jc w:val="both"/>
        <w:rPr>
          <w:rFonts w:hint="eastAsia" w:ascii="Times New Roman" w:hAnsi="Times New Roman" w:eastAsia="宋体" w:cs="微软雅黑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8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宋体" w:cs="微软雅黑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8"/>
          <w:shd w:val="clear" w:fill="FFFFFF"/>
          <w:lang w:val="en-US" w:eastAsia="zh-CN" w:bidi="ar"/>
        </w:rPr>
        <w:t>4.地址：老厂福加德码头（肇庆市高要区南岸镇南湾路18号）</w:t>
      </w:r>
    </w:p>
    <w:p w14:paraId="48CDC298">
      <w:pPr>
        <w:tabs>
          <w:tab w:val="left" w:pos="670"/>
          <w:tab w:val="center" w:pos="4252"/>
        </w:tabs>
        <w:spacing w:beforeLines="0" w:line="440" w:lineRule="exact"/>
        <w:ind w:firstLine="480" w:firstLineChars="200"/>
        <w:jc w:val="both"/>
        <w:rPr>
          <w:rFonts w:hint="eastAsia" w:ascii="Times New Roman" w:hAnsi="Times New Roman" w:eastAsia="宋体" w:cs="微软雅黑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8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宋体" w:cs="微软雅黑"/>
          <w:b w:val="0"/>
          <w:bCs w:val="0"/>
          <w:i w:val="0"/>
          <w:iCs w:val="0"/>
          <w:caps w:val="0"/>
          <w:color w:val="333333"/>
          <w:spacing w:val="0"/>
          <w:kern w:val="0"/>
          <w:sz w:val="24"/>
          <w:szCs w:val="28"/>
          <w:shd w:val="clear" w:fill="FFFFFF"/>
          <w:lang w:val="en-US" w:eastAsia="zh-CN" w:bidi="ar"/>
        </w:rPr>
        <w:t>5.承运线路</w:t>
      </w:r>
    </w:p>
    <w:tbl>
      <w:tblPr>
        <w:tblStyle w:val="10"/>
        <w:tblW w:w="925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4719"/>
        <w:gridCol w:w="3084"/>
      </w:tblGrid>
      <w:tr w14:paraId="254DE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32416">
            <w:pPr>
              <w:keepNext w:val="0"/>
              <w:keepLines w:val="0"/>
              <w:widowControl/>
              <w:suppressLineNumbers w:val="0"/>
              <w:snapToGrid w:val="0"/>
              <w:spacing w:beforeLines="0" w:line="44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Times New Roman" w:hAnsi="Times New Roman" w:eastAsia="宋体" w:cs="宋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货类</w:t>
            </w:r>
          </w:p>
        </w:tc>
        <w:tc>
          <w:tcPr>
            <w:tcW w:w="4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59DC3">
            <w:pPr>
              <w:keepNext w:val="0"/>
              <w:keepLines w:val="0"/>
              <w:widowControl/>
              <w:suppressLineNumbers w:val="0"/>
              <w:snapToGrid w:val="0"/>
              <w:spacing w:beforeLines="0" w:line="44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Times New Roman" w:hAnsi="Times New Roman" w:eastAsia="宋体" w:cs="宋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装货地点</w:t>
            </w: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097C8">
            <w:pPr>
              <w:keepNext w:val="0"/>
              <w:keepLines w:val="0"/>
              <w:widowControl/>
              <w:suppressLineNumbers w:val="0"/>
              <w:snapToGrid w:val="0"/>
              <w:spacing w:beforeLines="0" w:line="44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Times New Roman" w:hAnsi="Times New Roman" w:eastAsia="宋体" w:cs="宋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卸货地点</w:t>
            </w:r>
          </w:p>
        </w:tc>
      </w:tr>
      <w:tr w14:paraId="791FB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CBCFC">
            <w:pPr>
              <w:keepNext w:val="0"/>
              <w:keepLines w:val="0"/>
              <w:widowControl/>
              <w:suppressLineNumbers w:val="0"/>
              <w:snapToGrid w:val="0"/>
              <w:spacing w:beforeLines="0" w:line="44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散装小麦</w:t>
            </w:r>
          </w:p>
        </w:tc>
        <w:tc>
          <w:tcPr>
            <w:tcW w:w="4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9B542">
            <w:pPr>
              <w:keepNext w:val="0"/>
              <w:keepLines w:val="0"/>
              <w:widowControl/>
              <w:suppressLineNumbers w:val="0"/>
              <w:snapToGrid w:val="0"/>
              <w:spacing w:beforeLines="0" w:line="44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南沙粮食通用码头及区域</w:t>
            </w: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B0536">
            <w:pPr>
              <w:keepNext w:val="0"/>
              <w:keepLines w:val="0"/>
              <w:widowControl/>
              <w:suppressLineNumbers w:val="0"/>
              <w:snapToGrid w:val="0"/>
              <w:spacing w:beforeLines="0" w:line="44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肇福工厂/肇庆三榕港</w:t>
            </w:r>
          </w:p>
        </w:tc>
      </w:tr>
      <w:tr w14:paraId="4BC37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8A61B">
            <w:pPr>
              <w:snapToGrid w:val="0"/>
              <w:spacing w:beforeLines="0" w:line="440" w:lineRule="exact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3D345">
            <w:pPr>
              <w:keepNext w:val="0"/>
              <w:keepLines w:val="0"/>
              <w:widowControl/>
              <w:suppressLineNumbers w:val="0"/>
              <w:snapToGrid w:val="0"/>
              <w:spacing w:beforeLines="0" w:line="44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黄埔/新沙/东莞麻涌深赤湾及区域</w:t>
            </w: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46510">
            <w:pPr>
              <w:keepNext w:val="0"/>
              <w:keepLines w:val="0"/>
              <w:widowControl/>
              <w:suppressLineNumbers w:val="0"/>
              <w:snapToGrid w:val="0"/>
              <w:spacing w:beforeLines="0" w:line="44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肇福工厂/肇庆三榕港</w:t>
            </w:r>
          </w:p>
        </w:tc>
      </w:tr>
      <w:tr w14:paraId="692E6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0E1C1">
            <w:pPr>
              <w:snapToGrid w:val="0"/>
              <w:spacing w:beforeLines="0" w:line="440" w:lineRule="exact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1D7A0">
            <w:pPr>
              <w:keepNext w:val="0"/>
              <w:keepLines w:val="0"/>
              <w:widowControl/>
              <w:suppressLineNumbers w:val="0"/>
              <w:snapToGrid w:val="0"/>
              <w:spacing w:beforeLines="0" w:line="44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深圳赤湾港及区域</w:t>
            </w: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1DE8D">
            <w:pPr>
              <w:keepNext w:val="0"/>
              <w:keepLines w:val="0"/>
              <w:widowControl/>
              <w:suppressLineNumbers w:val="0"/>
              <w:snapToGrid w:val="0"/>
              <w:spacing w:beforeLines="0" w:line="44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肇福工厂/肇庆三榕港</w:t>
            </w:r>
          </w:p>
        </w:tc>
      </w:tr>
    </w:tbl>
    <w:p w14:paraId="486B777A">
      <w:pPr>
        <w:tabs>
          <w:tab w:val="left" w:pos="670"/>
          <w:tab w:val="center" w:pos="4252"/>
        </w:tabs>
        <w:spacing w:beforeLines="0" w:line="440" w:lineRule="exact"/>
        <w:jc w:val="both"/>
        <w:rPr>
          <w:rFonts w:hint="default" w:ascii="Times New Roman" w:hAnsi="Times New Roman" w:eastAsia="宋体" w:cs="微软雅黑"/>
          <w:b w:val="0"/>
          <w:bCs/>
          <w:i w:val="0"/>
          <w:iCs w:val="0"/>
          <w:caps w:val="0"/>
          <w:color w:val="333333"/>
          <w:spacing w:val="0"/>
          <w:kern w:val="0"/>
          <w:sz w:val="24"/>
          <w:szCs w:val="28"/>
          <w:shd w:val="clear" w:fill="FFFFFF"/>
          <w:lang w:val="en-US" w:eastAsia="zh-CN" w:bidi="ar"/>
        </w:rPr>
      </w:pPr>
    </w:p>
    <w:p w14:paraId="2EF00F23">
      <w:pPr>
        <w:pageBreakBefore w:val="0"/>
        <w:kinsoku/>
        <w:overflowPunct/>
        <w:topLinePunct w:val="0"/>
        <w:autoSpaceDE/>
        <w:autoSpaceDN/>
        <w:bidi w:val="0"/>
        <w:adjustRightInd/>
        <w:spacing w:before="0" w:beforeLines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投标人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基本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资质要求：</w:t>
      </w:r>
    </w:p>
    <w:p w14:paraId="2A75854D">
      <w:pPr>
        <w:pageBreakBefore w:val="0"/>
        <w:numPr>
          <w:ilvl w:val="0"/>
          <w:numId w:val="1"/>
        </w:numPr>
        <w:tabs>
          <w:tab w:val="left" w:pos="840"/>
        </w:tabs>
        <w:kinsoku/>
        <w:topLinePunct w:val="0"/>
        <w:bidi w:val="0"/>
        <w:snapToGrid w:val="0"/>
        <w:spacing w:beforeLines="0" w:line="440" w:lineRule="exact"/>
        <w:ind w:left="0" w:leftChars="0" w:firstLine="480" w:firstLineChars="200"/>
        <w:rPr>
          <w:rFonts w:hint="eastAsia" w:ascii="Times New Roman" w:hAnsi="Times New Roman" w:eastAsia="宋体" w:cs="微软雅黑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具有独立承担民事责任的能力：在中华人民共和国境内注册的法人或其他组织或自然人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投标（响应）时提交有效的营业执照（或事业法人登记证或身份证等相关证明） 副本复印件。分支机构投标的，须提供总公司和分公司营业执照副本复印件，总公司出具给分支机构的授权书。</w:t>
      </w:r>
      <w:r>
        <w:rPr>
          <w:rFonts w:hint="eastAsia" w:ascii="Times New Roman" w:hAnsi="Times New Roman" w:eastAsia="宋体" w:cs="微软雅黑"/>
          <w:b w:val="0"/>
          <w:bCs/>
          <w:sz w:val="24"/>
          <w:szCs w:val="24"/>
          <w:lang w:val="en-US" w:eastAsia="zh-CN"/>
        </w:rPr>
        <w:t>企业</w:t>
      </w:r>
      <w:r>
        <w:rPr>
          <w:rFonts w:hint="eastAsia" w:ascii="Times New Roman" w:hAnsi="Times New Roman" w:eastAsia="宋体" w:cs="微软雅黑"/>
          <w:b w:val="0"/>
          <w:bCs/>
          <w:sz w:val="24"/>
          <w:szCs w:val="24"/>
        </w:rPr>
        <w:t>注册资金</w:t>
      </w:r>
      <w:r>
        <w:rPr>
          <w:rFonts w:hint="eastAsia" w:ascii="Times New Roman" w:hAnsi="Times New Roman" w:eastAsia="宋体" w:cs="微软雅黑"/>
          <w:b w:val="0"/>
          <w:bCs/>
          <w:sz w:val="24"/>
          <w:szCs w:val="24"/>
          <w:lang w:val="en-US" w:eastAsia="zh-CN"/>
        </w:rPr>
        <w:t>不少于</w:t>
      </w:r>
      <w:r>
        <w:rPr>
          <w:rFonts w:hint="eastAsia" w:ascii="Times New Roman" w:hAnsi="Times New Roman" w:eastAsia="宋体" w:cs="微软雅黑"/>
          <w:b w:val="0"/>
          <w:bCs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微软雅黑"/>
          <w:b w:val="0"/>
          <w:bCs/>
          <w:color w:val="auto"/>
          <w:sz w:val="24"/>
          <w:szCs w:val="24"/>
        </w:rPr>
        <w:t>00万元</w:t>
      </w:r>
      <w:r>
        <w:rPr>
          <w:rFonts w:hint="eastAsia" w:ascii="Times New Roman" w:hAnsi="Times New Roman" w:eastAsia="宋体" w:cs="微软雅黑"/>
          <w:b w:val="0"/>
          <w:bCs/>
          <w:color w:val="auto"/>
          <w:sz w:val="24"/>
          <w:szCs w:val="24"/>
          <w:lang w:val="en-US" w:eastAsia="zh-CN"/>
        </w:rPr>
        <w:t>人</w:t>
      </w:r>
      <w:r>
        <w:rPr>
          <w:rFonts w:hint="eastAsia" w:ascii="Times New Roman" w:hAnsi="Times New Roman" w:eastAsia="宋体" w:cs="微软雅黑"/>
          <w:b w:val="0"/>
          <w:bCs/>
          <w:sz w:val="24"/>
          <w:szCs w:val="24"/>
          <w:lang w:val="en-US" w:eastAsia="zh-CN"/>
        </w:rPr>
        <w:t>民币，成立时间一年以上。</w:t>
      </w:r>
    </w:p>
    <w:p w14:paraId="54C0C429">
      <w:pPr>
        <w:pageBreakBefore w:val="0"/>
        <w:numPr>
          <w:ilvl w:val="0"/>
          <w:numId w:val="1"/>
        </w:numPr>
        <w:tabs>
          <w:tab w:val="left" w:pos="840"/>
        </w:tabs>
        <w:kinsoku/>
        <w:topLinePunct w:val="0"/>
        <w:bidi w:val="0"/>
        <w:snapToGrid w:val="0"/>
        <w:spacing w:beforeLines="0" w:line="440" w:lineRule="exact"/>
        <w:ind w:left="0" w:leftChars="0" w:firstLine="480" w:firstLineChars="200"/>
        <w:rPr>
          <w:rFonts w:hint="default" w:ascii="Times New Roman" w:hAnsi="Times New Roman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highlight w:val="none"/>
        </w:rPr>
        <w:t>具有良好的商业信誉和健全的财务会计制度；</w:t>
      </w:r>
    </w:p>
    <w:p w14:paraId="51EA853D">
      <w:pPr>
        <w:pageBreakBefore w:val="0"/>
        <w:numPr>
          <w:ilvl w:val="0"/>
          <w:numId w:val="1"/>
        </w:numPr>
        <w:tabs>
          <w:tab w:val="left" w:pos="840"/>
        </w:tabs>
        <w:kinsoku/>
        <w:topLinePunct w:val="0"/>
        <w:bidi w:val="0"/>
        <w:snapToGrid w:val="0"/>
        <w:spacing w:beforeLines="0" w:line="440" w:lineRule="exact"/>
        <w:ind w:left="0" w:leftChars="0" w:firstLine="480" w:firstLineChars="200"/>
        <w:rPr>
          <w:rFonts w:hint="eastAsia" w:ascii="Times New Roman" w:hAnsi="Times New Roman" w:eastAsia="宋体" w:cs="微软雅黑"/>
          <w:b w:val="0"/>
          <w:bCs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highlight w:val="none"/>
        </w:rPr>
        <w:t>有依法缴纳税收和社会保障资金的良好记录</w:t>
      </w:r>
      <w:r>
        <w:rPr>
          <w:rFonts w:hint="eastAsia" w:ascii="Times New Roman" w:hAnsi="Times New Roman" w:eastAsia="宋体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开具9%运输专用发票</w:t>
      </w:r>
    </w:p>
    <w:p w14:paraId="07B15BA4">
      <w:pPr>
        <w:pageBreakBefore w:val="0"/>
        <w:numPr>
          <w:ilvl w:val="0"/>
          <w:numId w:val="1"/>
        </w:numPr>
        <w:tabs>
          <w:tab w:val="left" w:pos="840"/>
        </w:tabs>
        <w:kinsoku/>
        <w:topLinePunct w:val="0"/>
        <w:bidi w:val="0"/>
        <w:snapToGrid w:val="0"/>
        <w:spacing w:beforeLines="0" w:line="440" w:lineRule="exact"/>
        <w:ind w:left="0" w:leftChars="0" w:firstLine="480" w:firstLineChars="200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具有履行合同所必需的设备和专业技术能力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Times New Roman" w:hAnsi="Times New Roman" w:eastAsia="宋体" w:cs="微软雅黑"/>
          <w:b w:val="0"/>
          <w:bCs/>
          <w:sz w:val="24"/>
          <w:szCs w:val="28"/>
          <w:lang w:val="en-US" w:eastAsia="zh-CN"/>
        </w:rPr>
        <w:t>具备有效的国内水路运输经营许可证，经营范围含内河普通货物运输；或提供有效的无船承运业务备案证；</w:t>
      </w:r>
    </w:p>
    <w:p w14:paraId="5EC312E0">
      <w:pPr>
        <w:pageBreakBefore w:val="0"/>
        <w:numPr>
          <w:ilvl w:val="0"/>
          <w:numId w:val="1"/>
        </w:numPr>
        <w:tabs>
          <w:tab w:val="left" w:pos="840"/>
        </w:tabs>
        <w:kinsoku/>
        <w:topLinePunct w:val="0"/>
        <w:bidi w:val="0"/>
        <w:snapToGrid w:val="0"/>
        <w:spacing w:beforeLines="0" w:line="440" w:lineRule="exact"/>
        <w:ind w:left="0" w:leftChars="0" w:firstLine="480" w:firstLineChars="200"/>
        <w:rPr>
          <w:rFonts w:hint="eastAsia" w:ascii="Times New Roman" w:hAnsi="Times New Roman" w:eastAsia="宋体"/>
          <w:sz w:val="24"/>
          <w:szCs w:val="24"/>
          <w:highlight w:val="none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参加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本次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采购活动前三年内，在经营活动中没有重大违法记录；</w:t>
      </w:r>
    </w:p>
    <w:p w14:paraId="24A1E84D">
      <w:pPr>
        <w:pageBreakBefore w:val="0"/>
        <w:numPr>
          <w:ilvl w:val="0"/>
          <w:numId w:val="1"/>
        </w:numPr>
        <w:tabs>
          <w:tab w:val="left" w:pos="840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line="440" w:lineRule="exact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 w:cs="微软雅黑"/>
          <w:b w:val="0"/>
          <w:bCs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highlight w:val="none"/>
        </w:rPr>
        <w:t>投标人未被列入“中国执行信息公开网”网站（http://zxgk.court.gov.cn/shixin</w:t>
      </w:r>
      <w:r>
        <w:rPr>
          <w:rFonts w:hint="eastAsia" w:ascii="Times New Roman" w:hAnsi="Times New Roman" w:eastAsia="宋体"/>
          <w:sz w:val="24"/>
          <w:szCs w:val="24"/>
          <w:highlight w:val="none"/>
          <w:lang w:eastAsia="zh-CN"/>
        </w:rPr>
        <w:t>）</w:t>
      </w:r>
      <w:r>
        <w:rPr>
          <w:rFonts w:hint="eastAsia" w:ascii="Times New Roman" w:hAnsi="Times New Roman" w:eastAsia="宋体"/>
          <w:sz w:val="24"/>
          <w:szCs w:val="24"/>
          <w:highlight w:val="none"/>
        </w:rPr>
        <w:t>“失信被执行人</w:t>
      </w:r>
      <w:r>
        <w:rPr>
          <w:rFonts w:hint="eastAsia" w:ascii="Times New Roman" w:hAnsi="Times New Roman" w:eastAsia="宋体"/>
          <w:sz w:val="24"/>
          <w:szCs w:val="24"/>
          <w:highlight w:val="none"/>
          <w:lang w:eastAsia="zh-CN"/>
        </w:rPr>
        <w:t>”“</w:t>
      </w:r>
      <w:r>
        <w:rPr>
          <w:rFonts w:hint="eastAsia" w:ascii="Times New Roman" w:hAnsi="Times New Roman" w:eastAsia="宋体"/>
          <w:sz w:val="24"/>
          <w:szCs w:val="24"/>
          <w:highlight w:val="none"/>
        </w:rPr>
        <w:t>信用中国”网站</w:t>
      </w:r>
      <w:r>
        <w:rPr>
          <w:rFonts w:hint="eastAsia" w:ascii="Times New Roman" w:hAnsi="Times New Roman" w:eastAsia="宋体"/>
          <w:sz w:val="24"/>
          <w:szCs w:val="24"/>
          <w:highlight w:val="none"/>
          <w:lang w:eastAsia="zh-CN"/>
        </w:rPr>
        <w:t>（</w:t>
      </w:r>
      <w:r>
        <w:rPr>
          <w:rFonts w:hint="eastAsia" w:ascii="Times New Roman" w:hAnsi="Times New Roman" w:eastAsia="宋体"/>
          <w:sz w:val="24"/>
          <w:szCs w:val="24"/>
          <w:highlight w:val="none"/>
        </w:rPr>
        <w:t xml:space="preserve">www.creditchina.gov.cn </w:t>
      </w:r>
      <w:r>
        <w:rPr>
          <w:rFonts w:hint="eastAsia" w:ascii="Times New Roman" w:hAnsi="Times New Roman" w:eastAsia="宋体"/>
          <w:sz w:val="24"/>
          <w:szCs w:val="24"/>
          <w:highlight w:val="none"/>
          <w:lang w:eastAsia="zh-CN"/>
        </w:rPr>
        <w:t>）</w:t>
      </w:r>
      <w:r>
        <w:rPr>
          <w:rFonts w:hint="eastAsia" w:ascii="Times New Roman" w:hAnsi="Times New Roman" w:eastAsia="宋体"/>
          <w:sz w:val="24"/>
          <w:szCs w:val="24"/>
          <w:highlight w:val="none"/>
        </w:rPr>
        <w:t>“重大税收违法案件当事人名单</w:t>
      </w:r>
      <w:r>
        <w:rPr>
          <w:rFonts w:hint="eastAsia" w:ascii="Times New Roman" w:hAnsi="Times New Roman" w:eastAsia="宋体"/>
          <w:sz w:val="24"/>
          <w:szCs w:val="24"/>
          <w:highlight w:val="none"/>
          <w:lang w:eastAsia="zh-CN"/>
        </w:rPr>
        <w:t>”“</w:t>
      </w:r>
      <w:r>
        <w:rPr>
          <w:rFonts w:hint="eastAsia" w:ascii="Times New Roman" w:hAnsi="Times New Roman" w:eastAsia="宋体"/>
          <w:sz w:val="24"/>
          <w:szCs w:val="24"/>
          <w:highlight w:val="none"/>
        </w:rPr>
        <w:t>政府采购严重违法失信名单”；不处于中国政府采购网</w:t>
      </w:r>
      <w:r>
        <w:rPr>
          <w:rFonts w:hint="eastAsia" w:ascii="Times New Roman" w:hAnsi="Times New Roman" w:eastAsia="宋体"/>
          <w:sz w:val="24"/>
          <w:szCs w:val="24"/>
          <w:highlight w:val="none"/>
          <w:lang w:eastAsia="zh-CN"/>
        </w:rPr>
        <w:t>（</w:t>
      </w:r>
      <w:r>
        <w:rPr>
          <w:rFonts w:hint="eastAsia" w:ascii="Times New Roman" w:hAnsi="Times New Roman" w:eastAsia="宋体"/>
          <w:sz w:val="24"/>
          <w:szCs w:val="24"/>
          <w:highlight w:val="none"/>
        </w:rPr>
        <w:t>www.ccgp.gov.cn</w:t>
      </w:r>
      <w:r>
        <w:rPr>
          <w:rFonts w:hint="eastAsia" w:ascii="Times New Roman" w:hAnsi="Times New Roman" w:eastAsia="宋体"/>
          <w:sz w:val="24"/>
          <w:szCs w:val="24"/>
          <w:highlight w:val="none"/>
          <w:lang w:eastAsia="zh-CN"/>
        </w:rPr>
        <w:t>）</w:t>
      </w:r>
      <w:r>
        <w:rPr>
          <w:rFonts w:hint="eastAsia" w:ascii="Times New Roman" w:hAnsi="Times New Roman" w:eastAsia="宋体"/>
          <w:sz w:val="24"/>
          <w:szCs w:val="24"/>
          <w:highlight w:val="none"/>
        </w:rPr>
        <w:t>“政府采购严重违法失信行为信息记录”中的禁止参加政府采购活动期间，否则拒绝其参与政府采购活动（相关失信记录已失效、处罚期限届满的除外）。投标人需提供上述三个网站的网页查询结果作为证明材料。</w:t>
      </w:r>
      <w:r>
        <w:rPr>
          <w:rFonts w:hint="eastAsia" w:ascii="Times New Roman" w:hAnsi="Times New Roman" w:eastAsia="宋体"/>
          <w:sz w:val="24"/>
          <w:szCs w:val="24"/>
          <w:highlight w:val="none"/>
          <w:lang w:eastAsia="zh-CN"/>
        </w:rPr>
        <w:t>（</w:t>
      </w:r>
      <w:r>
        <w:rPr>
          <w:rFonts w:hint="eastAsia" w:ascii="Times New Roman" w:hAnsi="Times New Roman" w:eastAsia="宋体"/>
          <w:sz w:val="24"/>
          <w:szCs w:val="24"/>
          <w:highlight w:val="none"/>
        </w:rPr>
        <w:t>采购人将于投标截止日当天在上述渠道复查投标人的信用记录，若投标人自查结果与采购人复查结果不一致，将以复查结果为准）。</w:t>
      </w:r>
    </w:p>
    <w:p w14:paraId="51684363">
      <w:pPr>
        <w:pageBreakBefore w:val="0"/>
        <w:numPr>
          <w:ilvl w:val="0"/>
          <w:numId w:val="1"/>
        </w:numPr>
        <w:tabs>
          <w:tab w:val="left" w:pos="840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line="440" w:lineRule="exact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 w:cs="微软雅黑"/>
          <w:b w:val="0"/>
          <w:bCs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符合法律、行政法规规定的其他条件；</w:t>
      </w:r>
    </w:p>
    <w:p w14:paraId="5FB7EBCC">
      <w:pPr>
        <w:pageBreakBefore w:val="0"/>
        <w:numPr>
          <w:ilvl w:val="0"/>
          <w:numId w:val="1"/>
        </w:numPr>
        <w:tabs>
          <w:tab w:val="left" w:pos="840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line="440" w:lineRule="exact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 w:cs="微软雅黑"/>
          <w:b w:val="0"/>
          <w:bCs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highlight w:val="none"/>
        </w:rPr>
        <w:t>单位负责人为同一人或者存在直接控股、管理关系的不同供应商，不得同时参加本采购项目投标</w:t>
      </w:r>
    </w:p>
    <w:p w14:paraId="44A376A6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440" w:lineRule="exact"/>
        <w:ind w:left="0" w:leftChars="0" w:firstLine="480" w:firstLineChars="200"/>
        <w:jc w:val="both"/>
        <w:textAlignment w:val="auto"/>
        <w:rPr>
          <w:rFonts w:ascii="Times New Roman" w:hAnsi="Times New Roman" w:eastAsia="宋体" w:cs="宋体"/>
          <w:b w:val="0"/>
          <w:sz w:val="24"/>
          <w:szCs w:val="24"/>
          <w:highlight w:val="none"/>
        </w:rPr>
      </w:pPr>
      <w:r>
        <w:rPr>
          <w:rFonts w:hint="eastAsia" w:ascii="Times New Roman" w:hAnsi="Times New Roman" w:eastAsia="宋体"/>
          <w:sz w:val="24"/>
          <w:szCs w:val="24"/>
          <w:highlight w:val="none"/>
        </w:rPr>
        <w:t>本项目不接受联合体报名</w:t>
      </w:r>
      <w:r>
        <w:rPr>
          <w:rFonts w:hint="eastAsia" w:ascii="Times New Roman" w:hAnsi="Times New Roman" w:eastAsia="宋体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不允许合同分包。</w:t>
      </w:r>
    </w:p>
    <w:p w14:paraId="48AF2BB1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440" w:lineRule="exact"/>
        <w:ind w:left="0" w:leftChars="0" w:firstLine="480" w:firstLineChars="200"/>
        <w:jc w:val="both"/>
        <w:textAlignment w:val="auto"/>
        <w:rPr>
          <w:rFonts w:ascii="Times New Roman" w:hAnsi="Times New Roman" w:eastAsia="宋体" w:cs="宋体"/>
          <w:b w:val="0"/>
          <w:sz w:val="24"/>
          <w:szCs w:val="24"/>
          <w:highlight w:val="none"/>
        </w:rPr>
      </w:pPr>
      <w:r>
        <w:rPr>
          <w:rFonts w:hint="eastAsia" w:ascii="Times New Roman" w:hAnsi="Times New Roman" w:eastAsia="宋体" w:cs="宋体"/>
          <w:b w:val="0"/>
          <w:sz w:val="24"/>
          <w:szCs w:val="24"/>
          <w:highlight w:val="none"/>
          <w:lang w:val="en-US" w:eastAsia="zh-CN"/>
        </w:rPr>
        <w:t>上述要求须在投标文件中提供资格声明函及有关证明材料</w:t>
      </w:r>
    </w:p>
    <w:p w14:paraId="4F7513E2">
      <w:pPr>
        <w:keepNext w:val="0"/>
        <w:keepLines w:val="0"/>
        <w:pageBreakBefore w:val="0"/>
        <w:widowControl/>
        <w:numPr>
          <w:ilvl w:val="-1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440" w:lineRule="exact"/>
        <w:ind w:left="0" w:leftChars="0" w:firstLine="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宋体" w:cs="微软雅黑"/>
          <w:b/>
          <w:bCs w:val="0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投标人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能力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要求：</w:t>
      </w:r>
    </w:p>
    <w:p w14:paraId="5561BD02">
      <w:pPr>
        <w:pageBreakBefore w:val="0"/>
        <w:numPr>
          <w:ilvl w:val="0"/>
          <w:numId w:val="2"/>
        </w:numPr>
        <w:tabs>
          <w:tab w:val="left" w:pos="840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line="440" w:lineRule="exact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自有或长期合法调配内河散货船舶，满足航线吃水、吨位、船型要求（1000-3000吨船，船宽不超14米）；</w:t>
      </w:r>
    </w:p>
    <w:p w14:paraId="090C9A81">
      <w:pPr>
        <w:pageBreakBefore w:val="0"/>
        <w:numPr>
          <w:ilvl w:val="0"/>
          <w:numId w:val="2"/>
        </w:numPr>
        <w:tabs>
          <w:tab w:val="left" w:pos="840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line="440" w:lineRule="exact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配专人不少于1人，跟进该项物流服务；</w:t>
      </w:r>
    </w:p>
    <w:p w14:paraId="71084BB7">
      <w:pPr>
        <w:pageBreakBefore w:val="0"/>
        <w:numPr>
          <w:ilvl w:val="0"/>
          <w:numId w:val="2"/>
        </w:numPr>
        <w:tabs>
          <w:tab w:val="left" w:pos="840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line="440" w:lineRule="exact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船舶持有有效船舶营业运输证、检验证书国籍证书、所以权登记证书，适航适货、符合粮食运输卫生要求；</w:t>
      </w:r>
    </w:p>
    <w:p w14:paraId="387B8ECD">
      <w:pPr>
        <w:pageBreakBefore w:val="0"/>
        <w:numPr>
          <w:ilvl w:val="0"/>
          <w:numId w:val="2"/>
        </w:numPr>
        <w:tabs>
          <w:tab w:val="left" w:pos="840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line="440" w:lineRule="exact"/>
        <w:ind w:left="0" w:leftChars="0" w:firstLine="480" w:firstLineChars="200"/>
        <w:jc w:val="both"/>
        <w:textAlignment w:val="auto"/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近3年内具备内河散粮/小麦运输同类业绩；</w:t>
      </w:r>
    </w:p>
    <w:p w14:paraId="24D7266E">
      <w:pPr>
        <w:pageBreakBefore w:val="0"/>
        <w:numPr>
          <w:ilvl w:val="0"/>
          <w:numId w:val="2"/>
        </w:numPr>
        <w:tabs>
          <w:tab w:val="left" w:pos="840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line="44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具备运输全过程实时定位、轨迹可查；</w:t>
      </w:r>
    </w:p>
    <w:p w14:paraId="4D6BA74B">
      <w:pPr>
        <w:pageBreakBefore w:val="0"/>
        <w:numPr>
          <w:ilvl w:val="0"/>
          <w:numId w:val="2"/>
        </w:numPr>
        <w:tabs>
          <w:tab w:val="left" w:pos="840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line="44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以上要求须在投标文件中提供承诺函及相关佐证材料</w:t>
      </w:r>
    </w:p>
    <w:p w14:paraId="5916D20C">
      <w:pPr>
        <w:pageBreakBefore w:val="0"/>
        <w:tabs>
          <w:tab w:val="left" w:pos="180"/>
          <w:tab w:val="left" w:pos="360"/>
        </w:tabs>
        <w:kinsoku/>
        <w:topLinePunct w:val="0"/>
        <w:bidi w:val="0"/>
        <w:spacing w:beforeLines="0" w:line="440" w:lineRule="exact"/>
        <w:ind w:firstLine="0" w:firstLineChars="0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  <w:highlight w:val="none"/>
          <w:lang w:val="en-US" w:eastAsia="zh-CN"/>
        </w:rPr>
        <w:t>五、报名时间以及招标文件获取方式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 xml:space="preserve">  </w:t>
      </w:r>
    </w:p>
    <w:p w14:paraId="75DDBC97">
      <w:pPr>
        <w:pageBreakBefore w:val="0"/>
        <w:numPr>
          <w:ilvl w:val="0"/>
          <w:numId w:val="0"/>
        </w:numPr>
        <w:tabs>
          <w:tab w:val="left" w:pos="540"/>
        </w:tabs>
        <w:kinsoku/>
        <w:topLinePunct w:val="0"/>
        <w:autoSpaceDE/>
        <w:autoSpaceDN/>
        <w:bidi w:val="0"/>
        <w:spacing w:beforeLines="0" w:line="440" w:lineRule="exact"/>
        <w:ind w:left="0" w:leftChars="0" w:firstLine="480" w:firstLineChars="200"/>
        <w:rPr>
          <w:rFonts w:hint="default" w:ascii="Times New Roman" w:hAnsi="Times New Roman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报名人于2026年3月3日16：00前将报名资料发送到招标人邮箱获取招标文件（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邮箱地址：xutzf@fjd.com.cn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eastAsia="zh-CN"/>
        </w:rPr>
        <w:t>），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成功发送报名资料扫描件后请致电告知采购人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招标人收集并审查报名资料无误后于3月6日当天通过邮箱统一发布招标文件至各报名单位。</w:t>
      </w:r>
    </w:p>
    <w:p w14:paraId="74270815">
      <w:pPr>
        <w:pageBreakBefore w:val="0"/>
        <w:numPr>
          <w:ilvl w:val="0"/>
          <w:numId w:val="0"/>
        </w:numPr>
        <w:tabs>
          <w:tab w:val="left" w:pos="540"/>
        </w:tabs>
        <w:kinsoku/>
        <w:overflowPunct/>
        <w:topLinePunct w:val="0"/>
        <w:autoSpaceDE w:val="0"/>
        <w:autoSpaceDN w:val="0"/>
        <w:bidi w:val="0"/>
        <w:adjustRightInd/>
        <w:snapToGrid/>
        <w:spacing w:before="0" w:beforeLines="0" w:after="0" w:line="440" w:lineRule="exact"/>
        <w:ind w:firstLine="480" w:firstLineChars="200"/>
        <w:jc w:val="left"/>
        <w:textAlignment w:val="auto"/>
        <w:rPr>
          <w:rFonts w:hint="default" w:ascii="Times New Roman" w:hAnsi="Times New Roman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获取文件的单位均被视为已充分理解本公告的有关要求，采购人无责任承担其是否符合合格供应商条件而引起的一切后果。</w:t>
      </w:r>
    </w:p>
    <w:p w14:paraId="4ABE5630">
      <w:pPr>
        <w:pStyle w:val="8"/>
        <w:pageBreakBefore w:val="0"/>
        <w:kinsoku/>
        <w:topLinePunct w:val="0"/>
        <w:bidi w:val="0"/>
        <w:spacing w:before="0" w:beforeLines="0" w:beforeAutospacing="0" w:after="0" w:afterAutospacing="0" w:line="440" w:lineRule="exact"/>
        <w:jc w:val="both"/>
        <w:rPr>
          <w:rFonts w:ascii="Times New Roman" w:hAnsi="Times New Roman" w:eastAsia="宋体"/>
          <w:b/>
          <w:bCs w:val="0"/>
          <w:kern w:val="2"/>
          <w:sz w:val="24"/>
          <w:szCs w:val="24"/>
          <w:highlight w:val="none"/>
        </w:rPr>
      </w:pPr>
      <w:r>
        <w:rPr>
          <w:rFonts w:hint="eastAsia" w:ascii="Times New Roman" w:hAnsi="Times New Roman" w:eastAsia="宋体"/>
          <w:b/>
          <w:bCs w:val="0"/>
          <w:kern w:val="2"/>
          <w:sz w:val="24"/>
          <w:szCs w:val="24"/>
          <w:highlight w:val="none"/>
          <w:lang w:val="en-US" w:eastAsia="zh-CN"/>
        </w:rPr>
        <w:t>报名</w:t>
      </w:r>
      <w:r>
        <w:rPr>
          <w:rFonts w:hint="eastAsia" w:ascii="Times New Roman" w:hAnsi="Times New Roman" w:eastAsia="宋体"/>
          <w:b/>
          <w:bCs w:val="0"/>
          <w:kern w:val="2"/>
          <w:sz w:val="24"/>
          <w:szCs w:val="24"/>
          <w:highlight w:val="none"/>
        </w:rPr>
        <w:t>资料</w:t>
      </w:r>
      <w:r>
        <w:rPr>
          <w:rFonts w:hint="eastAsia" w:ascii="Times New Roman" w:hAnsi="Times New Roman" w:eastAsia="宋体"/>
          <w:b/>
          <w:bCs w:val="0"/>
          <w:kern w:val="2"/>
          <w:sz w:val="24"/>
          <w:szCs w:val="24"/>
          <w:highlight w:val="none"/>
          <w:lang w:val="en-US" w:eastAsia="zh-CN"/>
        </w:rPr>
        <w:t>如下</w:t>
      </w:r>
      <w:r>
        <w:rPr>
          <w:rFonts w:hint="eastAsia" w:ascii="Times New Roman" w:hAnsi="Times New Roman" w:eastAsia="宋体"/>
          <w:b/>
          <w:bCs w:val="0"/>
          <w:kern w:val="2"/>
          <w:sz w:val="24"/>
          <w:szCs w:val="24"/>
          <w:highlight w:val="none"/>
        </w:rPr>
        <w:t>（所有资料</w:t>
      </w:r>
      <w:r>
        <w:rPr>
          <w:rFonts w:hint="eastAsia" w:ascii="Times New Roman" w:hAnsi="Times New Roman" w:eastAsia="宋体"/>
          <w:b/>
          <w:bCs w:val="0"/>
          <w:kern w:val="2"/>
          <w:sz w:val="24"/>
          <w:szCs w:val="24"/>
          <w:highlight w:val="none"/>
          <w:lang w:val="en-US" w:eastAsia="zh-CN"/>
        </w:rPr>
        <w:t>为彩色电子版扫描件，并</w:t>
      </w:r>
      <w:r>
        <w:rPr>
          <w:rFonts w:hint="eastAsia" w:ascii="Times New Roman" w:hAnsi="Times New Roman" w:eastAsia="宋体"/>
          <w:b/>
          <w:bCs w:val="0"/>
          <w:kern w:val="2"/>
          <w:sz w:val="24"/>
          <w:szCs w:val="24"/>
          <w:highlight w:val="none"/>
        </w:rPr>
        <w:t>逐页加盖公章）：</w:t>
      </w:r>
    </w:p>
    <w:p w14:paraId="3403D76E">
      <w:pPr>
        <w:pageBreakBefore w:val="0"/>
        <w:kinsoku/>
        <w:topLinePunct w:val="0"/>
        <w:bidi w:val="0"/>
        <w:adjustRightInd w:val="0"/>
        <w:snapToGrid w:val="0"/>
        <w:spacing w:beforeLines="0" w:line="440" w:lineRule="exact"/>
        <w:ind w:left="0" w:leftChars="0" w:firstLine="480" w:firstLineChars="200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ascii="Times New Roman" w:hAnsi="Times New Roman" w:eastAsia="宋体" w:cs="Calibri"/>
          <w:sz w:val="24"/>
          <w:szCs w:val="24"/>
          <w:highlight w:val="none"/>
        </w:rPr>
        <w:t>①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有效的营业执照副本彩色扫描件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分机机构须同时提供总公司和分公司营业执照，以及总公司出具给分公司的授权书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；</w:t>
      </w:r>
    </w:p>
    <w:p w14:paraId="2E167F87">
      <w:pPr>
        <w:pageBreakBefore w:val="0"/>
        <w:kinsoku/>
        <w:topLinePunct w:val="0"/>
        <w:bidi w:val="0"/>
        <w:adjustRightInd w:val="0"/>
        <w:snapToGrid w:val="0"/>
        <w:spacing w:beforeLines="0" w:line="440" w:lineRule="exact"/>
        <w:ind w:left="0" w:leftChars="0" w:firstLine="480" w:firstLineChars="200"/>
        <w:rPr>
          <w:rFonts w:hint="eastAsia" w:ascii="Times New Roman" w:hAnsi="Times New Roman" w:eastAsia="宋体" w:cs="宋体"/>
          <w:sz w:val="24"/>
          <w:szCs w:val="24"/>
          <w:highlight w:val="none"/>
          <w:lang w:eastAsia="zh-CN"/>
        </w:rPr>
      </w:pPr>
      <w:r>
        <w:rPr>
          <w:rFonts w:ascii="Times New Roman" w:hAnsi="Times New Roman" w:eastAsia="宋体" w:cs="Calibri"/>
          <w:sz w:val="24"/>
          <w:szCs w:val="24"/>
          <w:highlight w:val="none"/>
        </w:rPr>
        <w:t>②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法定代表人证明书和法定代表人身份证彩色扫描件（若法定代表人委托报名的，应同时出具法人授权委托证明书和被委托人身份证彩色扫描件）[身份证须提供正反面]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eastAsia="zh-CN"/>
        </w:rPr>
        <w:t>；</w:t>
      </w:r>
    </w:p>
    <w:p w14:paraId="1A95E546">
      <w:pPr>
        <w:pageBreakBefore w:val="0"/>
        <w:kinsoku/>
        <w:topLinePunct w:val="0"/>
        <w:bidi w:val="0"/>
        <w:adjustRightInd w:val="0"/>
        <w:snapToGrid w:val="0"/>
        <w:spacing w:beforeLines="0" w:line="440" w:lineRule="exact"/>
        <w:ind w:left="0" w:leftChars="0" w:firstLine="480" w:firstLineChars="200"/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③</w:t>
      </w:r>
      <w:r>
        <w:rPr>
          <w:rFonts w:hint="eastAsia" w:ascii="Times New Roman" w:hAnsi="Times New Roman" w:eastAsia="宋体" w:cs="微软雅黑"/>
          <w:b w:val="0"/>
          <w:bCs/>
          <w:sz w:val="24"/>
          <w:szCs w:val="28"/>
          <w:lang w:val="en-US" w:eastAsia="zh-CN"/>
        </w:rPr>
        <w:t>有效的国内水路运输经营许可证，经营范围含内河普通货物运输；或提供有效的无船承运业务备案证；</w:t>
      </w:r>
    </w:p>
    <w:p w14:paraId="635D61B2">
      <w:pPr>
        <w:pStyle w:val="9"/>
        <w:pageBreakBefore w:val="0"/>
        <w:kinsoku/>
        <w:topLinePunct w:val="0"/>
        <w:bidi w:val="0"/>
        <w:spacing w:beforeLines="0" w:line="440" w:lineRule="exact"/>
        <w:ind w:left="0" w:firstLine="480" w:firstLineChars="200"/>
        <w:jc w:val="both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④</w:t>
      </w:r>
      <w:r>
        <w:rPr>
          <w:rFonts w:hint="eastAsia" w:eastAsia="宋体"/>
          <w:highlight w:val="none"/>
          <w:lang w:val="en-US"/>
        </w:rPr>
        <w:t>能够有效</w:t>
      </w:r>
      <w:r>
        <w:rPr>
          <w:rFonts w:hint="eastAsia" w:eastAsia="宋体"/>
          <w:highlight w:val="none"/>
          <w:lang w:val="en-US" w:eastAsia="zh-CN"/>
        </w:rPr>
        <w:t>地</w:t>
      </w:r>
      <w:r>
        <w:rPr>
          <w:rFonts w:hint="eastAsia" w:eastAsia="宋体"/>
          <w:highlight w:val="none"/>
          <w:lang w:val="en-US"/>
        </w:rPr>
        <w:t>接收</w:t>
      </w:r>
      <w:r>
        <w:rPr>
          <w:rFonts w:hint="eastAsia" w:ascii="Times New Roman" w:hAnsi="Times New Roman" w:eastAsia="宋体" w:cs="宋体"/>
          <w:highlight w:val="none"/>
          <w:lang w:val="en-US"/>
        </w:rPr>
        <w:t>招标</w:t>
      </w:r>
      <w:r>
        <w:rPr>
          <w:rFonts w:hint="eastAsia" w:eastAsia="宋体"/>
          <w:highlight w:val="none"/>
          <w:lang w:val="en-US"/>
        </w:rPr>
        <w:t>文件的电子邮箱、联系人、联系方式</w:t>
      </w:r>
      <w:r>
        <w:rPr>
          <w:rFonts w:hint="eastAsia" w:eastAsia="宋体"/>
          <w:highlight w:val="none"/>
          <w:lang w:val="en-US" w:eastAsia="zh-CN"/>
        </w:rPr>
        <w:t>；</w:t>
      </w:r>
    </w:p>
    <w:p w14:paraId="21B32946">
      <w:pPr>
        <w:pageBreakBefore w:val="0"/>
        <w:kinsoku/>
        <w:topLinePunct w:val="0"/>
        <w:bidi w:val="0"/>
        <w:adjustRightInd w:val="0"/>
        <w:snapToGrid w:val="0"/>
        <w:spacing w:beforeLines="0" w:line="440" w:lineRule="exact"/>
        <w:ind w:left="0" w:leftChars="0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注：</w:t>
      </w:r>
    </w:p>
    <w:p w14:paraId="6518F85F">
      <w:pPr>
        <w:pStyle w:val="5"/>
        <w:pageBreakBefore w:val="0"/>
        <w:kinsoku/>
        <w:topLinePunct w:val="0"/>
        <w:bidi w:val="0"/>
        <w:adjustRightInd w:val="0"/>
        <w:snapToGrid w:val="0"/>
        <w:spacing w:beforeLines="0" w:line="440" w:lineRule="exact"/>
        <w:ind w:left="0" w:leftChars="0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1.上述所有资料均需加盖公章，所有复印件须注明“与原件相符”。</w:t>
      </w:r>
    </w:p>
    <w:p w14:paraId="53017EED">
      <w:pPr>
        <w:pStyle w:val="5"/>
        <w:pageBreakBefore w:val="0"/>
        <w:kinsoku/>
        <w:topLinePunct w:val="0"/>
        <w:bidi w:val="0"/>
        <w:adjustRightInd w:val="0"/>
        <w:snapToGrid w:val="0"/>
        <w:spacing w:beforeLines="0" w:line="440" w:lineRule="exact"/>
        <w:ind w:left="0" w:leftChars="0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2.已办理报名的投标人参加投标的，不代表通过资格性审查。</w:t>
      </w:r>
    </w:p>
    <w:p w14:paraId="34C45A48"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54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0" w:line="440" w:lineRule="exact"/>
        <w:ind w:left="0" w:firstLine="0"/>
        <w:textAlignment w:val="auto"/>
        <w:rPr>
          <w:rFonts w:ascii="Times New Roman" w:hAnsi="Times New Roman" w:eastAsia="宋体" w:cs="宋体"/>
          <w:b/>
          <w:bCs/>
          <w:sz w:val="28"/>
          <w:szCs w:val="28"/>
          <w:highlight w:val="none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  <w:highlight w:val="none"/>
          <w:lang w:val="en-US" w:eastAsia="zh-CN"/>
        </w:rPr>
        <w:t>六、</w:t>
      </w:r>
      <w:r>
        <w:rPr>
          <w:rFonts w:hint="eastAsia" w:ascii="Times New Roman" w:hAnsi="Times New Roman" w:eastAsia="宋体" w:cs="宋体"/>
          <w:b/>
          <w:bCs/>
          <w:sz w:val="28"/>
          <w:szCs w:val="28"/>
          <w:highlight w:val="none"/>
        </w:rPr>
        <w:t>联系方式</w:t>
      </w:r>
    </w:p>
    <w:p w14:paraId="4FAF5313">
      <w:pPr>
        <w:pageBreakBefore w:val="0"/>
        <w:tabs>
          <w:tab w:val="left" w:pos="180"/>
          <w:tab w:val="left" w:pos="360"/>
        </w:tabs>
        <w:kinsoku/>
        <w:topLinePunct w:val="0"/>
        <w:bidi w:val="0"/>
        <w:spacing w:beforeLines="0" w:line="440" w:lineRule="exact"/>
        <w:ind w:firstLine="600" w:firstLineChars="250"/>
        <w:rPr>
          <w:rFonts w:hint="default" w:ascii="Times New Roman" w:hAnsi="Times New Roman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招标单位：广东加福加德食品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技术股份有限公司</w:t>
      </w:r>
    </w:p>
    <w:p w14:paraId="7D260F44">
      <w:pPr>
        <w:pageBreakBefore w:val="0"/>
        <w:tabs>
          <w:tab w:val="left" w:pos="180"/>
          <w:tab w:val="left" w:pos="360"/>
        </w:tabs>
        <w:kinsoku/>
        <w:topLinePunct w:val="0"/>
        <w:bidi w:val="0"/>
        <w:spacing w:beforeLines="0" w:line="440" w:lineRule="exact"/>
        <w:ind w:firstLine="600" w:firstLineChars="250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联系人：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邓丁豪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 xml:space="preserve">        </w:t>
      </w:r>
    </w:p>
    <w:p w14:paraId="1CB544E3">
      <w:pPr>
        <w:pageBreakBefore w:val="0"/>
        <w:tabs>
          <w:tab w:val="left" w:pos="180"/>
          <w:tab w:val="left" w:pos="360"/>
        </w:tabs>
        <w:kinsoku/>
        <w:topLinePunct w:val="0"/>
        <w:bidi w:val="0"/>
        <w:spacing w:beforeLines="0" w:line="440" w:lineRule="exact"/>
        <w:ind w:firstLine="600" w:firstLineChars="250"/>
        <w:rPr>
          <w:rFonts w:hint="default" w:ascii="Times New Roman" w:hAnsi="Times New Roman" w:eastAsia="宋体" w:cs="宋体"/>
          <w:sz w:val="24"/>
          <w:szCs w:val="24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联系电话：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18318598471</w:t>
      </w:r>
    </w:p>
    <w:p w14:paraId="5754DCF8">
      <w:pPr>
        <w:pageBreakBefore w:val="0"/>
        <w:numPr>
          <w:ilvl w:val="0"/>
          <w:numId w:val="0"/>
        </w:numPr>
        <w:tabs>
          <w:tab w:val="left" w:pos="540"/>
        </w:tabs>
        <w:kinsoku/>
        <w:topLinePunct w:val="0"/>
        <w:autoSpaceDE w:val="0"/>
        <w:autoSpaceDN w:val="0"/>
        <w:bidi w:val="0"/>
        <w:spacing w:beforeLines="0" w:line="440" w:lineRule="exact"/>
        <w:ind w:left="400" w:leftChars="0" w:firstLine="240" w:firstLineChars="100"/>
        <w:rPr>
          <w:rFonts w:ascii="Times New Roman" w:hAnsi="Times New Roman" w:eastAsia="宋体"/>
          <w:sz w:val="24"/>
          <w:szCs w:val="24"/>
          <w:highlight w:val="none"/>
        </w:rPr>
      </w:pP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地址：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广东省肇庆市高要区南岸镇南湾路18号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 xml:space="preserve">   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br w:type="textWrapping"/>
      </w:r>
    </w:p>
    <w:p w14:paraId="06C1D1EB">
      <w:pPr>
        <w:pageBreakBefore w:val="0"/>
        <w:tabs>
          <w:tab w:val="left" w:pos="180"/>
          <w:tab w:val="left" w:pos="360"/>
        </w:tabs>
        <w:kinsoku/>
        <w:topLinePunct w:val="0"/>
        <w:bidi w:val="0"/>
        <w:spacing w:beforeLines="0" w:line="440" w:lineRule="exact"/>
        <w:ind w:firstLine="600" w:firstLineChars="250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</w:p>
    <w:p w14:paraId="722CFDEA">
      <w:pPr>
        <w:pageBreakBefore w:val="0"/>
        <w:kinsoku/>
        <w:topLinePunct w:val="0"/>
        <w:bidi w:val="0"/>
        <w:spacing w:beforeLines="0" w:line="440" w:lineRule="exact"/>
        <w:jc w:val="both"/>
        <w:rPr>
          <w:rFonts w:hint="eastAsia" w:ascii="Times New Roman" w:hAnsi="Times New Roman" w:eastAsia="宋体" w:cs="宋体"/>
          <w:b w:val="0"/>
          <w:bCs/>
          <w:sz w:val="24"/>
          <w:highlight w:val="none"/>
        </w:rPr>
      </w:pPr>
    </w:p>
    <w:p w14:paraId="2CFEB144">
      <w:pPr>
        <w:pageBreakBefore w:val="0"/>
        <w:kinsoku/>
        <w:topLinePunct w:val="0"/>
        <w:bidi w:val="0"/>
        <w:spacing w:beforeLines="0" w:line="440" w:lineRule="exact"/>
        <w:jc w:val="both"/>
        <w:rPr>
          <w:rFonts w:hint="eastAsia" w:ascii="Times New Roman" w:hAnsi="Times New Roman" w:eastAsia="宋体" w:cs="宋体"/>
          <w:b w:val="0"/>
          <w:bCs/>
          <w:sz w:val="24"/>
          <w:highlight w:val="none"/>
        </w:rPr>
      </w:pPr>
    </w:p>
    <w:p w14:paraId="3CDB7AB4">
      <w:pPr>
        <w:pageBreakBefore w:val="0"/>
        <w:kinsoku/>
        <w:topLinePunct w:val="0"/>
        <w:bidi w:val="0"/>
        <w:spacing w:beforeLines="0" w:line="440" w:lineRule="exact"/>
        <w:jc w:val="right"/>
        <w:rPr>
          <w:rFonts w:hint="eastAsia" w:ascii="Times New Roman" w:hAnsi="Times New Roman" w:eastAsia="宋体" w:cs="宋体"/>
          <w:b w:val="0"/>
          <w:bCs/>
          <w:sz w:val="24"/>
          <w:highlight w:val="none"/>
        </w:rPr>
      </w:pPr>
      <w:r>
        <w:rPr>
          <w:rFonts w:hint="eastAsia" w:ascii="Times New Roman" w:hAnsi="Times New Roman" w:eastAsia="宋体" w:cs="宋体"/>
          <w:b w:val="0"/>
          <w:bCs/>
          <w:sz w:val="24"/>
          <w:highlight w:val="none"/>
        </w:rPr>
        <w:t>广东加福加德食品</w:t>
      </w:r>
      <w:r>
        <w:rPr>
          <w:rFonts w:hint="eastAsia" w:ascii="Times New Roman" w:hAnsi="Times New Roman" w:eastAsia="宋体" w:cs="宋体"/>
          <w:b w:val="0"/>
          <w:bCs/>
          <w:sz w:val="24"/>
          <w:highlight w:val="none"/>
          <w:lang w:val="en-US" w:eastAsia="zh-CN"/>
        </w:rPr>
        <w:t>技术股份</w:t>
      </w:r>
      <w:r>
        <w:rPr>
          <w:rFonts w:hint="eastAsia" w:ascii="Times New Roman" w:hAnsi="Times New Roman" w:eastAsia="宋体" w:cs="宋体"/>
          <w:b w:val="0"/>
          <w:bCs/>
          <w:sz w:val="24"/>
          <w:highlight w:val="none"/>
        </w:rPr>
        <w:t>有限公司</w:t>
      </w:r>
    </w:p>
    <w:p w14:paraId="3BF9017C">
      <w:pPr>
        <w:pStyle w:val="5"/>
        <w:pageBreakBefore w:val="0"/>
        <w:kinsoku/>
        <w:topLinePunct w:val="0"/>
        <w:bidi w:val="0"/>
        <w:adjustRightInd w:val="0"/>
        <w:snapToGrid w:val="0"/>
        <w:spacing w:beforeLines="0" w:line="440" w:lineRule="exact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Times New Roman" w:hAnsi="Times New Roman" w:eastAsia="宋体" w:cs="宋体"/>
          <w:b w:val="0"/>
          <w:bCs/>
          <w:sz w:val="24"/>
          <w:highlight w:val="none"/>
        </w:rPr>
        <w:t xml:space="preserve">                                                          202</w:t>
      </w:r>
      <w:r>
        <w:rPr>
          <w:rFonts w:hint="eastAsia" w:ascii="Times New Roman" w:hAnsi="Times New Roman" w:eastAsia="宋体" w:cs="宋体"/>
          <w:b w:val="0"/>
          <w:bCs/>
          <w:sz w:val="24"/>
          <w:highlight w:val="none"/>
          <w:lang w:val="en-US" w:eastAsia="zh-CN"/>
        </w:rPr>
        <w:t>6</w:t>
      </w:r>
      <w:r>
        <w:rPr>
          <w:rFonts w:hint="eastAsia" w:ascii="Times New Roman" w:hAnsi="Times New Roman" w:eastAsia="宋体" w:cs="宋体"/>
          <w:b w:val="0"/>
          <w:bCs/>
          <w:sz w:val="24"/>
          <w:highlight w:val="none"/>
        </w:rPr>
        <w:t>年</w:t>
      </w:r>
      <w:r>
        <w:rPr>
          <w:rFonts w:hint="eastAsia" w:ascii="Times New Roman" w:hAnsi="Times New Roman" w:eastAsia="宋体" w:cs="宋体"/>
          <w:b w:val="0"/>
          <w:bCs/>
          <w:sz w:val="24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宋体"/>
          <w:b w:val="0"/>
          <w:bCs/>
          <w:sz w:val="24"/>
          <w:highlight w:val="none"/>
        </w:rPr>
        <w:t>月</w:t>
      </w:r>
      <w:r>
        <w:rPr>
          <w:rFonts w:hint="eastAsia" w:ascii="Times New Roman" w:hAnsi="Times New Roman" w:eastAsia="宋体" w:cs="宋体"/>
          <w:b w:val="0"/>
          <w:bCs/>
          <w:sz w:val="24"/>
          <w:highlight w:val="none"/>
          <w:lang w:val="en-US" w:eastAsia="zh-CN"/>
        </w:rPr>
        <w:t>25</w:t>
      </w:r>
      <w:bookmarkStart w:id="0" w:name="_GoBack"/>
      <w:bookmarkEnd w:id="0"/>
      <w:r>
        <w:rPr>
          <w:rFonts w:hint="eastAsia" w:ascii="Times New Roman" w:hAnsi="Times New Roman" w:eastAsia="宋体" w:cs="宋体"/>
          <w:b w:val="0"/>
          <w:bCs/>
          <w:sz w:val="24"/>
          <w:highlight w:val="none"/>
        </w:rPr>
        <w:t>日</w:t>
      </w:r>
    </w:p>
    <w:sectPr>
      <w:footerReference r:id="rId3" w:type="default"/>
      <w:pgSz w:w="11906" w:h="16838"/>
      <w:pgMar w:top="1440" w:right="1486" w:bottom="1440" w:left="13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345A7">
    <w:pPr>
      <w:pStyle w:val="7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92FF5C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C92FF5C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139E23"/>
    <w:multiLevelType w:val="singleLevel"/>
    <w:tmpl w:val="C6139E2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F6CEC8"/>
    <w:multiLevelType w:val="singleLevel"/>
    <w:tmpl w:val="5DF6CEC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03026"/>
    <w:rsid w:val="010B363A"/>
    <w:rsid w:val="02690D1C"/>
    <w:rsid w:val="02D34BB0"/>
    <w:rsid w:val="03B24E15"/>
    <w:rsid w:val="040A6B37"/>
    <w:rsid w:val="08A2174C"/>
    <w:rsid w:val="0DC3384F"/>
    <w:rsid w:val="11F430BF"/>
    <w:rsid w:val="12CB5C1F"/>
    <w:rsid w:val="13AB0E40"/>
    <w:rsid w:val="1A3F329F"/>
    <w:rsid w:val="1ADE6963"/>
    <w:rsid w:val="1C756BEB"/>
    <w:rsid w:val="1CD221A8"/>
    <w:rsid w:val="1DD17F46"/>
    <w:rsid w:val="21AB79BB"/>
    <w:rsid w:val="21BC6004"/>
    <w:rsid w:val="22214F76"/>
    <w:rsid w:val="23975CF1"/>
    <w:rsid w:val="23F772CA"/>
    <w:rsid w:val="24812D99"/>
    <w:rsid w:val="25E7257B"/>
    <w:rsid w:val="28502062"/>
    <w:rsid w:val="2B614E93"/>
    <w:rsid w:val="32217E27"/>
    <w:rsid w:val="32981347"/>
    <w:rsid w:val="393149CE"/>
    <w:rsid w:val="3E514A2C"/>
    <w:rsid w:val="3F930E91"/>
    <w:rsid w:val="40FE4531"/>
    <w:rsid w:val="412457BC"/>
    <w:rsid w:val="42C34498"/>
    <w:rsid w:val="456334DA"/>
    <w:rsid w:val="47596E9F"/>
    <w:rsid w:val="48AE659B"/>
    <w:rsid w:val="48B863EC"/>
    <w:rsid w:val="4AF97802"/>
    <w:rsid w:val="4C84633A"/>
    <w:rsid w:val="4CFD7F00"/>
    <w:rsid w:val="532C4566"/>
    <w:rsid w:val="53575963"/>
    <w:rsid w:val="54BA4CF5"/>
    <w:rsid w:val="562E2D76"/>
    <w:rsid w:val="59094320"/>
    <w:rsid w:val="5F376D7B"/>
    <w:rsid w:val="60D221F7"/>
    <w:rsid w:val="614C60B0"/>
    <w:rsid w:val="621243C2"/>
    <w:rsid w:val="626E74F9"/>
    <w:rsid w:val="67B57CC9"/>
    <w:rsid w:val="6A9C57A3"/>
    <w:rsid w:val="6C8E6D3B"/>
    <w:rsid w:val="6E29066D"/>
    <w:rsid w:val="6E4E6B01"/>
    <w:rsid w:val="702E4ABD"/>
    <w:rsid w:val="71013264"/>
    <w:rsid w:val="727644F9"/>
    <w:rsid w:val="73497518"/>
    <w:rsid w:val="76B94D58"/>
    <w:rsid w:val="77CB5EAF"/>
    <w:rsid w:val="792C3B64"/>
    <w:rsid w:val="795C6F9A"/>
    <w:rsid w:val="7BC12B7B"/>
    <w:rsid w:val="7F21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</w:style>
  <w:style w:type="paragraph" w:styleId="6">
    <w:name w:val="Body Text Indent"/>
    <w:basedOn w:val="1"/>
    <w:next w:val="1"/>
    <w:unhideWhenUsed/>
    <w:qFormat/>
    <w:uiPriority w:val="99"/>
    <w:pPr>
      <w:ind w:firstLine="700" w:firstLineChars="250"/>
    </w:pPr>
    <w:rPr>
      <w:rFonts w:ascii="楷体_GB2312" w:hAnsi="宋体" w:eastAsia="楷体_GB2312"/>
      <w:sz w:val="28"/>
      <w:szCs w:val="20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 2"/>
    <w:basedOn w:val="6"/>
    <w:unhideWhenUsed/>
    <w:qFormat/>
    <w:uiPriority w:val="99"/>
    <w:pPr>
      <w:widowControl/>
      <w:spacing w:after="0"/>
      <w:ind w:left="360" w:firstLine="360" w:firstLineChars="0"/>
      <w:jc w:val="left"/>
    </w:pPr>
    <w:rPr>
      <w:rFonts w:ascii="Times New Roman" w:hAnsi="Times New Roman" w:eastAsia="Times New Roman" w:cs="Times New Roman"/>
      <w:kern w:val="0"/>
      <w:sz w:val="24"/>
      <w:szCs w:val="24"/>
      <w:lang w:val="zh-CN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1856</Words>
  <Characters>2032</Characters>
  <Lines>0</Lines>
  <Paragraphs>0</Paragraphs>
  <TotalTime>1068</TotalTime>
  <ScaleCrop>false</ScaleCrop>
  <LinksUpToDate>false</LinksUpToDate>
  <CharactersWithSpaces>2107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2025-05-08T15:56:00Z</dcterms:created>
  <dc:creator>FJD</dc:creator>
  <cp:lastModifiedBy>←_←</cp:lastModifiedBy>
  <dcterms:modified xsi:type="dcterms:W3CDTF">2026-02-25T03:53:22Z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eyJoZGlkIjoiNTQ0M2UxZTgzYmJmYmE3MDZkODE0ZDBmYTA4YWZmNmIiLCJ1c2VySWQiOiIzMjQyMzgxMTcifQ==</vt:lpwstr>
  </property>
  <property fmtid="{D5CDD505-2E9C-101B-9397-08002B2CF9AE}" pid="4" name="ICV">
    <vt:lpwstr>90661CA15AF947068C426C369199C49D_13</vt:lpwstr>
  </property>
</Properties>
</file>